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68B06" w14:textId="77777777" w:rsidR="00E50BCC" w:rsidRPr="00FE3656" w:rsidRDefault="00E50BCC" w:rsidP="00E50BCC">
      <w:pPr>
        <w:tabs>
          <w:tab w:val="left" w:pos="6361"/>
        </w:tabs>
        <w:ind w:left="-1080" w:right="-1080"/>
        <w:jc w:val="center"/>
        <w:rPr>
          <w:rFonts w:ascii="Fauna One" w:hAnsi="Fauna One"/>
          <w:b/>
          <w:sz w:val="28"/>
          <w:szCs w:val="28"/>
        </w:rPr>
      </w:pPr>
      <w:r>
        <w:rPr>
          <w:rFonts w:ascii="Fauna One" w:hAnsi="Fauna One"/>
          <w:b/>
          <w:sz w:val="28"/>
          <w:szCs w:val="28"/>
        </w:rPr>
        <w:t>Fort Smith Public Schools</w:t>
      </w:r>
    </w:p>
    <w:p w14:paraId="69801DAC" w14:textId="77777777" w:rsidR="00CA30CF" w:rsidRPr="00326565" w:rsidRDefault="00CA30CF" w:rsidP="00FE3656">
      <w:pPr>
        <w:ind w:left="-1080" w:right="-1080"/>
        <w:rPr>
          <w:sz w:val="4"/>
          <w:szCs w:val="4"/>
        </w:rPr>
      </w:pPr>
    </w:p>
    <w:p w14:paraId="72FF4E09" w14:textId="77777777" w:rsidR="009D4BB1" w:rsidRPr="00EE6419" w:rsidRDefault="00326565" w:rsidP="00326565">
      <w:pPr>
        <w:tabs>
          <w:tab w:val="left" w:pos="2655"/>
        </w:tabs>
        <w:ind w:right="-1080"/>
        <w:rPr>
          <w:rFonts w:ascii="Fauna One" w:hAnsi="Fauna One"/>
          <w:sz w:val="12"/>
          <w:szCs w:val="12"/>
        </w:rPr>
      </w:pPr>
      <w:r>
        <w:rPr>
          <w:rFonts w:ascii="Fauna One" w:hAnsi="Fauna One"/>
          <w:sz w:val="28"/>
          <w:szCs w:val="28"/>
        </w:rPr>
        <w:tab/>
      </w:r>
      <w:r>
        <w:rPr>
          <w:rFonts w:ascii="Fauna One" w:hAnsi="Fauna One"/>
          <w:sz w:val="28"/>
          <w:szCs w:val="28"/>
        </w:rPr>
        <w:tab/>
      </w:r>
    </w:p>
    <w:p w14:paraId="4761A774" w14:textId="2D9122C4" w:rsidR="00AF7638" w:rsidRDefault="009D4BB1" w:rsidP="006C237A">
      <w:pPr>
        <w:tabs>
          <w:tab w:val="left" w:pos="2655"/>
        </w:tabs>
        <w:ind w:right="-1080"/>
        <w:rPr>
          <w:rFonts w:ascii="Fauna One" w:hAnsi="Fauna One"/>
          <w:sz w:val="28"/>
          <w:szCs w:val="28"/>
        </w:rPr>
      </w:pPr>
      <w:r>
        <w:rPr>
          <w:rFonts w:ascii="Fauna One" w:hAnsi="Fauna One"/>
          <w:sz w:val="28"/>
          <w:szCs w:val="28"/>
        </w:rPr>
        <w:tab/>
      </w:r>
      <w:r>
        <w:rPr>
          <w:rFonts w:ascii="Fauna One" w:hAnsi="Fauna One"/>
          <w:sz w:val="28"/>
          <w:szCs w:val="28"/>
        </w:rPr>
        <w:tab/>
      </w:r>
    </w:p>
    <w:p w14:paraId="33EF8675" w14:textId="77777777" w:rsidR="00B1311E" w:rsidRPr="00B1311E" w:rsidRDefault="00B1311E" w:rsidP="006C237A">
      <w:pPr>
        <w:tabs>
          <w:tab w:val="left" w:pos="2655"/>
        </w:tabs>
        <w:ind w:right="-1080"/>
        <w:rPr>
          <w:rFonts w:ascii="Fauna One" w:hAnsi="Fauna One"/>
          <w:sz w:val="8"/>
          <w:szCs w:val="8"/>
        </w:rPr>
      </w:pPr>
    </w:p>
    <w:p w14:paraId="0861F478" w14:textId="77777777" w:rsidR="00EC18B8" w:rsidRPr="000A5DB9" w:rsidRDefault="00AF7638" w:rsidP="006C237A">
      <w:pPr>
        <w:tabs>
          <w:tab w:val="left" w:pos="2655"/>
        </w:tabs>
        <w:ind w:right="-1080"/>
        <w:rPr>
          <w:rFonts w:ascii="Fauna One" w:hAnsi="Fauna One"/>
          <w:b/>
          <w:bCs/>
          <w:sz w:val="28"/>
          <w:szCs w:val="28"/>
        </w:rPr>
      </w:pPr>
      <w:r>
        <w:rPr>
          <w:rFonts w:ascii="Fauna One" w:hAnsi="Fauna One"/>
          <w:sz w:val="28"/>
          <w:szCs w:val="28"/>
        </w:rPr>
        <w:tab/>
      </w:r>
      <w:r>
        <w:rPr>
          <w:rFonts w:ascii="Fauna One" w:hAnsi="Fauna One"/>
          <w:sz w:val="28"/>
          <w:szCs w:val="28"/>
        </w:rPr>
        <w:tab/>
      </w:r>
      <w:r w:rsidR="00EC18B8" w:rsidRPr="000A5DB9">
        <w:rPr>
          <w:rFonts w:ascii="Fauna One" w:hAnsi="Fauna One"/>
          <w:b/>
          <w:bCs/>
        </w:rPr>
        <w:t>PROFILE:</w:t>
      </w:r>
      <w:r w:rsidR="00E50BCC" w:rsidRPr="000A5DB9">
        <w:rPr>
          <w:rFonts w:ascii="Fauna One" w:hAnsi="Fauna One"/>
          <w:b/>
          <w:bCs/>
        </w:rPr>
        <w:t xml:space="preserve"> </w:t>
      </w:r>
      <w:r w:rsidR="00B81C72" w:rsidRPr="000A5DB9">
        <w:rPr>
          <w:rFonts w:ascii="Fauna One" w:hAnsi="Fauna One"/>
          <w:b/>
          <w:bCs/>
        </w:rPr>
        <w:t>Dyslexia Intervention Students</w:t>
      </w:r>
    </w:p>
    <w:p w14:paraId="30EC6594" w14:textId="77777777" w:rsidR="00845B55" w:rsidRPr="00EE6419" w:rsidRDefault="00845B55" w:rsidP="00845B55">
      <w:pPr>
        <w:ind w:left="2880" w:right="-1080"/>
        <w:rPr>
          <w:rFonts w:ascii="Fauna One" w:hAnsi="Fauna One"/>
          <w:sz w:val="20"/>
          <w:szCs w:val="20"/>
        </w:rPr>
      </w:pPr>
      <w:r w:rsidRPr="00EE6419">
        <w:rPr>
          <w:rFonts w:ascii="Fauna One" w:hAnsi="Fauna One"/>
          <w:sz w:val="20"/>
          <w:szCs w:val="20"/>
        </w:rPr>
        <w:t>Number of Students:</w:t>
      </w:r>
      <w:r w:rsidR="00B81C72">
        <w:rPr>
          <w:rFonts w:ascii="Fauna One" w:hAnsi="Fauna One"/>
          <w:sz w:val="20"/>
          <w:szCs w:val="20"/>
        </w:rPr>
        <w:t xml:space="preserve"> 437</w:t>
      </w:r>
      <w:r>
        <w:rPr>
          <w:rFonts w:ascii="Fauna One" w:hAnsi="Fauna One"/>
          <w:sz w:val="20"/>
          <w:szCs w:val="20"/>
        </w:rPr>
        <w:tab/>
        <w:t xml:space="preserve">Average Age: </w:t>
      </w:r>
      <w:r w:rsidR="00B81C72">
        <w:rPr>
          <w:rFonts w:ascii="Fauna One" w:hAnsi="Fauna One"/>
          <w:sz w:val="20"/>
          <w:szCs w:val="20"/>
        </w:rPr>
        <w:t>9.5</w:t>
      </w:r>
    </w:p>
    <w:p w14:paraId="7801AB44" w14:textId="77777777" w:rsidR="00845B55" w:rsidRPr="00EE6419" w:rsidRDefault="00845B55" w:rsidP="00845B55">
      <w:pPr>
        <w:ind w:left="2880" w:right="-1080"/>
        <w:rPr>
          <w:rFonts w:ascii="Fauna One" w:hAnsi="Fauna One"/>
          <w:sz w:val="20"/>
          <w:szCs w:val="20"/>
        </w:rPr>
      </w:pPr>
      <w:r>
        <w:rPr>
          <w:rFonts w:ascii="Fauna One" w:hAnsi="Fauna One"/>
          <w:sz w:val="20"/>
          <w:szCs w:val="20"/>
        </w:rPr>
        <w:t>Average Hours of Instruction</w:t>
      </w:r>
      <w:r w:rsidRPr="00EE6419">
        <w:rPr>
          <w:rFonts w:ascii="Fauna One" w:hAnsi="Fauna One"/>
          <w:sz w:val="20"/>
          <w:szCs w:val="20"/>
        </w:rPr>
        <w:t>:</w:t>
      </w:r>
      <w:r w:rsidR="00B81C72">
        <w:rPr>
          <w:rFonts w:ascii="Fauna One" w:hAnsi="Fauna One"/>
          <w:sz w:val="20"/>
          <w:szCs w:val="20"/>
        </w:rPr>
        <w:t xml:space="preserve"> 84.4</w:t>
      </w:r>
    </w:p>
    <w:p w14:paraId="73143AFF" w14:textId="77777777" w:rsidR="00FE3656" w:rsidRPr="00EE6419" w:rsidRDefault="00EC18B8" w:rsidP="006C237A">
      <w:pPr>
        <w:ind w:left="2880" w:right="-1080"/>
        <w:rPr>
          <w:rFonts w:ascii="Fauna One" w:hAnsi="Fauna One"/>
          <w:sz w:val="20"/>
          <w:szCs w:val="20"/>
        </w:rPr>
      </w:pPr>
      <w:r w:rsidRPr="00EE6419">
        <w:rPr>
          <w:rFonts w:ascii="Fauna One" w:hAnsi="Fauna One"/>
          <w:sz w:val="20"/>
          <w:szCs w:val="20"/>
        </w:rPr>
        <w:t>Lindamood-Bell Programs Imple</w:t>
      </w:r>
      <w:r w:rsidR="00223DD5" w:rsidRPr="00EE6419">
        <w:rPr>
          <w:rFonts w:ascii="Fauna One" w:hAnsi="Fauna One"/>
          <w:sz w:val="20"/>
          <w:szCs w:val="20"/>
        </w:rPr>
        <w:t>me</w:t>
      </w:r>
      <w:r w:rsidRPr="00EE6419">
        <w:rPr>
          <w:rFonts w:ascii="Fauna One" w:hAnsi="Fauna One"/>
          <w:sz w:val="20"/>
          <w:szCs w:val="20"/>
        </w:rPr>
        <w:t>nted:</w:t>
      </w:r>
      <w:r w:rsidR="00326565" w:rsidRPr="00EE6419">
        <w:rPr>
          <w:rFonts w:ascii="Fauna One" w:hAnsi="Fauna One"/>
          <w:sz w:val="20"/>
          <w:szCs w:val="20"/>
        </w:rPr>
        <w:t xml:space="preserve"> </w:t>
      </w:r>
      <w:r w:rsidR="00FE3656" w:rsidRPr="00EE6419">
        <w:rPr>
          <w:rFonts w:ascii="Fauna One" w:hAnsi="Fauna One"/>
          <w:sz w:val="20"/>
          <w:szCs w:val="20"/>
        </w:rPr>
        <w:t>Seeing Stars</w:t>
      </w:r>
      <w:r w:rsidR="00FE3656" w:rsidRPr="00EE6419">
        <w:rPr>
          <w:rFonts w:ascii="Fauna One" w:hAnsi="Fauna One"/>
          <w:b/>
          <w:sz w:val="20"/>
          <w:szCs w:val="20"/>
          <w:vertAlign w:val="superscript"/>
        </w:rPr>
        <w:t>®</w:t>
      </w:r>
      <w:r w:rsidR="00FE3656" w:rsidRPr="00EE6419">
        <w:rPr>
          <w:rFonts w:ascii="Fauna One" w:hAnsi="Fauna One"/>
          <w:sz w:val="20"/>
          <w:szCs w:val="20"/>
        </w:rPr>
        <w:t xml:space="preserve"> </w:t>
      </w:r>
    </w:p>
    <w:p w14:paraId="6A284D08" w14:textId="77777777" w:rsidR="00FE3656" w:rsidRPr="00EE6419" w:rsidRDefault="00FE3656" w:rsidP="006C237A">
      <w:pPr>
        <w:ind w:left="2880" w:right="-1080"/>
        <w:rPr>
          <w:rFonts w:ascii="Fauna One" w:hAnsi="Fauna One"/>
          <w:sz w:val="20"/>
          <w:szCs w:val="20"/>
        </w:rPr>
      </w:pPr>
      <w:r w:rsidRPr="00EE6419">
        <w:rPr>
          <w:rFonts w:ascii="Fauna One" w:hAnsi="Fauna One"/>
          <w:sz w:val="20"/>
          <w:szCs w:val="20"/>
        </w:rPr>
        <w:t>Outcome Measures:</w:t>
      </w:r>
    </w:p>
    <w:p w14:paraId="27202A9D" w14:textId="77777777" w:rsidR="00FE3656" w:rsidRPr="00EE6419" w:rsidRDefault="00FE3656" w:rsidP="006C237A">
      <w:pPr>
        <w:pStyle w:val="ListParagraph"/>
        <w:numPr>
          <w:ilvl w:val="0"/>
          <w:numId w:val="3"/>
        </w:numPr>
        <w:spacing w:after="0" w:line="240" w:lineRule="auto"/>
        <w:ind w:left="3420" w:right="-1080" w:hanging="180"/>
        <w:rPr>
          <w:rFonts w:ascii="Fauna One" w:hAnsi="Fauna One"/>
          <w:sz w:val="20"/>
          <w:szCs w:val="20"/>
        </w:rPr>
      </w:pPr>
      <w:r w:rsidRPr="00EE6419">
        <w:rPr>
          <w:rFonts w:ascii="Fauna One" w:hAnsi="Fauna One"/>
          <w:sz w:val="20"/>
          <w:szCs w:val="20"/>
        </w:rPr>
        <w:t>Symbol Imagery Test</w:t>
      </w:r>
    </w:p>
    <w:p w14:paraId="260B950C" w14:textId="77777777" w:rsidR="00FE3656" w:rsidRPr="00EE6419" w:rsidRDefault="00FE3656" w:rsidP="006C237A">
      <w:pPr>
        <w:pStyle w:val="ListParagraph"/>
        <w:numPr>
          <w:ilvl w:val="0"/>
          <w:numId w:val="3"/>
        </w:numPr>
        <w:spacing w:after="0" w:line="240" w:lineRule="auto"/>
        <w:ind w:left="3420" w:right="-1080" w:hanging="180"/>
        <w:rPr>
          <w:rFonts w:ascii="Fauna One" w:hAnsi="Fauna One"/>
          <w:sz w:val="20"/>
          <w:szCs w:val="20"/>
        </w:rPr>
      </w:pPr>
      <w:r w:rsidRPr="00EE6419">
        <w:rPr>
          <w:rFonts w:ascii="Fauna One" w:hAnsi="Fauna One"/>
          <w:sz w:val="20"/>
          <w:szCs w:val="20"/>
        </w:rPr>
        <w:t>Woodcock Reading Mastery Test-3rd (word attack)</w:t>
      </w:r>
    </w:p>
    <w:p w14:paraId="2561B418" w14:textId="77777777" w:rsidR="00FE3656" w:rsidRPr="00EE6419" w:rsidRDefault="00FE3656" w:rsidP="006C237A">
      <w:pPr>
        <w:pStyle w:val="ListParagraph"/>
        <w:numPr>
          <w:ilvl w:val="0"/>
          <w:numId w:val="3"/>
        </w:numPr>
        <w:spacing w:after="0" w:line="240" w:lineRule="auto"/>
        <w:ind w:left="3420" w:right="-1080" w:hanging="180"/>
        <w:rPr>
          <w:rFonts w:ascii="Fauna One" w:hAnsi="Fauna One"/>
          <w:sz w:val="20"/>
          <w:szCs w:val="20"/>
        </w:rPr>
      </w:pPr>
      <w:r w:rsidRPr="00EE6419">
        <w:rPr>
          <w:rFonts w:ascii="Fauna One" w:hAnsi="Fauna One"/>
          <w:sz w:val="20"/>
          <w:szCs w:val="20"/>
        </w:rPr>
        <w:t>Wide Range Achievement Test-4th (reading and spelling)</w:t>
      </w:r>
    </w:p>
    <w:p w14:paraId="3046C22E" w14:textId="77777777" w:rsidR="00FE3656" w:rsidRPr="00EE6419" w:rsidRDefault="00FE3656" w:rsidP="006C237A">
      <w:pPr>
        <w:pStyle w:val="ListParagraph"/>
        <w:numPr>
          <w:ilvl w:val="0"/>
          <w:numId w:val="3"/>
        </w:numPr>
        <w:spacing w:after="0" w:line="240" w:lineRule="auto"/>
        <w:ind w:left="3420" w:right="-1080" w:hanging="180"/>
        <w:rPr>
          <w:rFonts w:ascii="Fauna One" w:hAnsi="Fauna One"/>
          <w:sz w:val="20"/>
          <w:szCs w:val="20"/>
        </w:rPr>
      </w:pPr>
      <w:r w:rsidRPr="00EE6419">
        <w:rPr>
          <w:rFonts w:ascii="Fauna One" w:hAnsi="Fauna One"/>
          <w:sz w:val="20"/>
          <w:szCs w:val="20"/>
        </w:rPr>
        <w:t>Gray Oral Reading Tests-4th (rate, accuracy, fluency, and comprehension)</w:t>
      </w:r>
    </w:p>
    <w:p w14:paraId="259420CD" w14:textId="77777777" w:rsidR="00223DD5" w:rsidRDefault="00223DD5" w:rsidP="00FE3656">
      <w:pPr>
        <w:ind w:left="-1080" w:right="-1080"/>
        <w:rPr>
          <w:rFonts w:ascii="Fauna One" w:hAnsi="Fauna One"/>
          <w:sz w:val="18"/>
          <w:szCs w:val="18"/>
        </w:rPr>
      </w:pPr>
    </w:p>
    <w:p w14:paraId="3EBB13E4" w14:textId="77777777" w:rsidR="009D4BB1" w:rsidRPr="009D4BB1" w:rsidRDefault="009D4BB1" w:rsidP="00326565">
      <w:pPr>
        <w:ind w:right="-1080" w:hanging="1080"/>
        <w:rPr>
          <w:rFonts w:ascii="Fauna One" w:hAnsi="Fauna One"/>
          <w:sz w:val="8"/>
          <w:szCs w:val="8"/>
        </w:rPr>
      </w:pPr>
    </w:p>
    <w:p w14:paraId="29F6ED3E" w14:textId="77777777" w:rsidR="00845B55" w:rsidRDefault="00845B55" w:rsidP="00326565">
      <w:pPr>
        <w:ind w:right="-1080" w:hanging="1080"/>
        <w:rPr>
          <w:rFonts w:ascii="Fauna One" w:hAnsi="Fauna One"/>
        </w:rPr>
      </w:pPr>
    </w:p>
    <w:p w14:paraId="00F82E15" w14:textId="77777777" w:rsidR="00FE3656" w:rsidRPr="000A5DB9" w:rsidRDefault="00EC18B8" w:rsidP="00326565">
      <w:pPr>
        <w:ind w:right="-1080" w:hanging="1080"/>
        <w:rPr>
          <w:rFonts w:ascii="Fauna One" w:hAnsi="Fauna One"/>
          <w:b/>
          <w:bCs/>
        </w:rPr>
      </w:pPr>
      <w:r w:rsidRPr="000A5DB9">
        <w:rPr>
          <w:rFonts w:ascii="Fauna One" w:hAnsi="Fauna One"/>
          <w:b/>
          <w:bCs/>
        </w:rPr>
        <w:t>BACKGROUND:</w:t>
      </w:r>
    </w:p>
    <w:p w14:paraId="4C0C84D7" w14:textId="3884DFE8" w:rsidR="00FE3656" w:rsidRDefault="00E50BCC" w:rsidP="00FE3656">
      <w:pPr>
        <w:ind w:left="-1080" w:right="-1080"/>
        <w:jc w:val="both"/>
        <w:rPr>
          <w:rFonts w:ascii="Fauna One" w:hAnsi="Fauna One"/>
          <w:sz w:val="22"/>
          <w:szCs w:val="22"/>
        </w:rPr>
      </w:pPr>
      <w:r>
        <w:rPr>
          <w:rFonts w:ascii="Fauna One" w:hAnsi="Fauna One"/>
          <w:sz w:val="22"/>
          <w:szCs w:val="22"/>
        </w:rPr>
        <w:t>Fort Smith Public Schools in Fort Smith, AR</w:t>
      </w:r>
      <w:r w:rsidR="00FE3656" w:rsidRPr="00EE6419">
        <w:rPr>
          <w:rFonts w:ascii="Fauna One" w:hAnsi="Fauna One"/>
          <w:sz w:val="22"/>
          <w:szCs w:val="22"/>
        </w:rPr>
        <w:t xml:space="preserve">, serves a large percentage of students who are at-risk of reading failure. During the </w:t>
      </w:r>
      <w:r>
        <w:rPr>
          <w:rFonts w:ascii="Fauna One" w:hAnsi="Fauna One"/>
          <w:sz w:val="22"/>
          <w:szCs w:val="22"/>
        </w:rPr>
        <w:t xml:space="preserve">2018-19 school year, Fort Smith Public Schools </w:t>
      </w:r>
      <w:r w:rsidR="00FE3656" w:rsidRPr="00EE6419">
        <w:rPr>
          <w:rFonts w:ascii="Fauna One" w:hAnsi="Fauna One"/>
          <w:sz w:val="22"/>
          <w:szCs w:val="22"/>
        </w:rPr>
        <w:t>implemented Lindamood-Bell</w:t>
      </w:r>
      <w:r w:rsidR="009D4BB1" w:rsidRPr="00EE6419">
        <w:rPr>
          <w:rFonts w:ascii="Fauna One" w:hAnsi="Fauna One"/>
          <w:sz w:val="22"/>
          <w:szCs w:val="22"/>
          <w:vertAlign w:val="superscript"/>
        </w:rPr>
        <w:t>®</w:t>
      </w:r>
      <w:r w:rsidR="00FE3656" w:rsidRPr="00EE6419">
        <w:rPr>
          <w:rFonts w:ascii="Fauna One" w:hAnsi="Fauna One"/>
          <w:sz w:val="22"/>
          <w:szCs w:val="22"/>
        </w:rPr>
        <w:t xml:space="preserve"> instruction to address the specific needs of this student</w:t>
      </w:r>
      <w:r w:rsidR="0048085F">
        <w:rPr>
          <w:rFonts w:ascii="Fauna One" w:hAnsi="Fauna One"/>
          <w:sz w:val="22"/>
          <w:szCs w:val="22"/>
        </w:rPr>
        <w:t xml:space="preserve"> population. </w:t>
      </w:r>
      <w:r w:rsidR="00B81C72">
        <w:rPr>
          <w:rFonts w:ascii="Fauna One" w:hAnsi="Fauna One"/>
          <w:sz w:val="22"/>
          <w:szCs w:val="22"/>
        </w:rPr>
        <w:t>437</w:t>
      </w:r>
      <w:r w:rsidR="0048085F">
        <w:rPr>
          <w:rFonts w:ascii="Fauna One" w:hAnsi="Fauna One"/>
          <w:sz w:val="22"/>
          <w:szCs w:val="22"/>
        </w:rPr>
        <w:t xml:space="preserve"> students </w:t>
      </w:r>
      <w:r w:rsidR="00FE3656" w:rsidRPr="00EE6419">
        <w:rPr>
          <w:rFonts w:ascii="Fauna One" w:hAnsi="Fauna One"/>
          <w:sz w:val="22"/>
          <w:szCs w:val="22"/>
        </w:rPr>
        <w:t>received a</w:t>
      </w:r>
      <w:r>
        <w:rPr>
          <w:rFonts w:ascii="Fauna One" w:hAnsi="Fauna One"/>
          <w:sz w:val="22"/>
          <w:szCs w:val="22"/>
        </w:rPr>
        <w:t xml:space="preserve">n average of </w:t>
      </w:r>
      <w:r w:rsidR="00B81C72">
        <w:rPr>
          <w:rFonts w:ascii="Fauna One" w:hAnsi="Fauna One"/>
          <w:sz w:val="22"/>
          <w:szCs w:val="22"/>
        </w:rPr>
        <w:t xml:space="preserve">84.4 </w:t>
      </w:r>
      <w:r>
        <w:rPr>
          <w:rFonts w:ascii="Fauna One" w:hAnsi="Fauna One"/>
          <w:sz w:val="22"/>
          <w:szCs w:val="22"/>
        </w:rPr>
        <w:t>hours of primarily</w:t>
      </w:r>
      <w:r w:rsidR="00FE3656" w:rsidRPr="00EE6419">
        <w:rPr>
          <w:rFonts w:ascii="Fauna One" w:hAnsi="Fauna One"/>
          <w:sz w:val="22"/>
          <w:szCs w:val="22"/>
        </w:rPr>
        <w:t xml:space="preserve"> Seeing Stars</w:t>
      </w:r>
      <w:r w:rsidR="009D4BB1" w:rsidRPr="00EE6419">
        <w:rPr>
          <w:rFonts w:ascii="Fauna One" w:hAnsi="Fauna One"/>
          <w:sz w:val="22"/>
          <w:szCs w:val="22"/>
        </w:rPr>
        <w:t xml:space="preserve"> </w:t>
      </w:r>
      <w:r w:rsidR="00FE3656" w:rsidRPr="00EE6419">
        <w:rPr>
          <w:rFonts w:ascii="Fauna One" w:hAnsi="Fauna One"/>
          <w:sz w:val="22"/>
          <w:szCs w:val="22"/>
        </w:rPr>
        <w:t>instruction to develop</w:t>
      </w:r>
      <w:r w:rsidR="009D4BB1" w:rsidRPr="00EE6419">
        <w:rPr>
          <w:rFonts w:ascii="Fauna One" w:hAnsi="Fauna One"/>
          <w:sz w:val="22"/>
          <w:szCs w:val="22"/>
        </w:rPr>
        <w:t xml:space="preserve"> </w:t>
      </w:r>
      <w:r w:rsidR="00FE3656" w:rsidRPr="00EE6419">
        <w:rPr>
          <w:rFonts w:ascii="Fauna One" w:hAnsi="Fauna One"/>
          <w:sz w:val="22"/>
          <w:szCs w:val="22"/>
        </w:rPr>
        <w:t xml:space="preserve">symbol imagery for </w:t>
      </w:r>
      <w:r w:rsidR="009D4BB1" w:rsidRPr="00EE6419">
        <w:rPr>
          <w:rFonts w:ascii="Fauna One" w:hAnsi="Fauna One"/>
          <w:sz w:val="22"/>
          <w:szCs w:val="22"/>
        </w:rPr>
        <w:t>reading</w:t>
      </w:r>
      <w:r w:rsidR="00FE3656" w:rsidRPr="00EE6419">
        <w:rPr>
          <w:rFonts w:ascii="Fauna One" w:hAnsi="Fauna One"/>
          <w:sz w:val="22"/>
          <w:szCs w:val="22"/>
        </w:rPr>
        <w:t xml:space="preserve">. Instruction was delivered by </w:t>
      </w:r>
      <w:r>
        <w:rPr>
          <w:rFonts w:ascii="Fauna One" w:hAnsi="Fauna One"/>
          <w:sz w:val="22"/>
          <w:szCs w:val="22"/>
        </w:rPr>
        <w:t>Fort Smith</w:t>
      </w:r>
      <w:r w:rsidR="00FE3656" w:rsidRPr="00EE6419">
        <w:rPr>
          <w:rFonts w:ascii="Fauna One" w:hAnsi="Fauna One"/>
          <w:sz w:val="22"/>
          <w:szCs w:val="22"/>
        </w:rPr>
        <w:t xml:space="preserve"> teachers who </w:t>
      </w:r>
      <w:r w:rsidR="00FE3656" w:rsidRPr="00EE6419">
        <w:rPr>
          <w:rFonts w:ascii="Fauna One" w:hAnsi="Fauna One" w:cs="Arial"/>
          <w:sz w:val="22"/>
          <w:szCs w:val="22"/>
          <w:shd w:val="clear" w:color="auto" w:fill="FFFFFF"/>
        </w:rPr>
        <w:t xml:space="preserve">received professional development </w:t>
      </w:r>
      <w:r w:rsidR="00FE3656" w:rsidRPr="00EE6419">
        <w:rPr>
          <w:rFonts w:ascii="Fauna One" w:hAnsi="Fauna One"/>
          <w:sz w:val="22"/>
          <w:szCs w:val="22"/>
        </w:rPr>
        <w:t xml:space="preserve">in </w:t>
      </w:r>
      <w:r w:rsidR="007118C1">
        <w:rPr>
          <w:rFonts w:ascii="Fauna One" w:hAnsi="Fauna One"/>
          <w:sz w:val="22"/>
          <w:szCs w:val="22"/>
        </w:rPr>
        <w:t>the programs developed by Lindamood-Bell’s founders</w:t>
      </w:r>
      <w:r w:rsidR="00FE3656" w:rsidRPr="00EE6419">
        <w:rPr>
          <w:rFonts w:ascii="Fauna One" w:hAnsi="Fauna One"/>
          <w:sz w:val="22"/>
          <w:szCs w:val="22"/>
        </w:rPr>
        <w:t>. St</w:t>
      </w:r>
      <w:r>
        <w:rPr>
          <w:rFonts w:ascii="Fauna One" w:hAnsi="Fauna One"/>
          <w:sz w:val="22"/>
          <w:szCs w:val="22"/>
        </w:rPr>
        <w:t>udent gains were measured with a</w:t>
      </w:r>
      <w:r w:rsidR="00FE3656" w:rsidRPr="00EE6419">
        <w:rPr>
          <w:rFonts w:ascii="Fauna One" w:hAnsi="Fauna One"/>
          <w:sz w:val="22"/>
          <w:szCs w:val="22"/>
        </w:rPr>
        <w:t xml:space="preserve"> battery of </w:t>
      </w:r>
      <w:r w:rsidR="009D4BB1" w:rsidRPr="00EE6419">
        <w:rPr>
          <w:rFonts w:ascii="Fauna One" w:hAnsi="Fauna One"/>
          <w:sz w:val="22"/>
          <w:szCs w:val="22"/>
        </w:rPr>
        <w:t>reading</w:t>
      </w:r>
      <w:r w:rsidR="00FE3656" w:rsidRPr="00EE6419">
        <w:rPr>
          <w:rFonts w:ascii="Fauna One" w:hAnsi="Fauna One"/>
          <w:sz w:val="22"/>
          <w:szCs w:val="22"/>
        </w:rPr>
        <w:t xml:space="preserve"> assessments</w:t>
      </w:r>
      <w:r>
        <w:rPr>
          <w:rFonts w:ascii="Fauna One" w:hAnsi="Fauna One"/>
          <w:sz w:val="22"/>
          <w:szCs w:val="22"/>
        </w:rPr>
        <w:t xml:space="preserve">. </w:t>
      </w:r>
    </w:p>
    <w:p w14:paraId="5C8E88EB" w14:textId="77777777" w:rsidR="000A5DB9" w:rsidRPr="00EE6419" w:rsidRDefault="000A5DB9" w:rsidP="00FE3656">
      <w:pPr>
        <w:ind w:left="-1080" w:right="-1080"/>
        <w:jc w:val="both"/>
        <w:rPr>
          <w:rFonts w:ascii="Fauna One" w:hAnsi="Fauna One"/>
          <w:sz w:val="22"/>
          <w:szCs w:val="22"/>
        </w:rPr>
      </w:pPr>
    </w:p>
    <w:p w14:paraId="17510234" w14:textId="77777777" w:rsidR="00EC18B8" w:rsidRPr="00326565" w:rsidRDefault="00EC18B8" w:rsidP="00326565">
      <w:pPr>
        <w:ind w:right="-1080"/>
        <w:rPr>
          <w:rFonts w:ascii="Arial" w:hAnsi="Arial"/>
          <w:sz w:val="8"/>
          <w:szCs w:val="8"/>
        </w:rPr>
      </w:pPr>
    </w:p>
    <w:tbl>
      <w:tblPr>
        <w:tblStyle w:val="TableGrid"/>
        <w:tblW w:w="108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716"/>
        <w:gridCol w:w="5876"/>
      </w:tblGrid>
      <w:tr w:rsidR="00B81C72" w:rsidRPr="00FE3656" w14:paraId="190B0876" w14:textId="77777777" w:rsidTr="00AF7638">
        <w:trPr>
          <w:jc w:val="center"/>
        </w:trPr>
        <w:tc>
          <w:tcPr>
            <w:tcW w:w="5716" w:type="dxa"/>
            <w:tcBorders>
              <w:top w:val="nil"/>
              <w:right w:val="nil"/>
            </w:tcBorders>
          </w:tcPr>
          <w:p w14:paraId="19CE3885" w14:textId="77777777" w:rsidR="00FE3656" w:rsidRPr="00FE3656" w:rsidRDefault="00B81C72" w:rsidP="00663A88">
            <w:pPr>
              <w:jc w:val="center"/>
              <w:rPr>
                <w:rFonts w:ascii="Fauna One" w:hAnsi="Fauna One"/>
                <w:noProof/>
                <w:sz w:val="24"/>
                <w:szCs w:val="24"/>
              </w:rPr>
            </w:pPr>
            <w:r w:rsidRPr="00FD56F9">
              <w:rPr>
                <w:rFonts w:cstheme="minorHAnsi"/>
                <w:noProof/>
              </w:rPr>
              <w:drawing>
                <wp:inline distT="0" distB="0" distL="0" distR="0" wp14:anchorId="757D3308" wp14:editId="5F1BA5EA">
                  <wp:extent cx="3491865" cy="2100580"/>
                  <wp:effectExtent l="0" t="0" r="635" b="0"/>
                  <wp:docPr id="18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5084" w:type="dxa"/>
            <w:tcBorders>
              <w:top w:val="nil"/>
              <w:left w:val="nil"/>
            </w:tcBorders>
          </w:tcPr>
          <w:p w14:paraId="175AFF90" w14:textId="77777777" w:rsidR="00FE3656" w:rsidRPr="00FE3656" w:rsidRDefault="00B81C72" w:rsidP="00663A88">
            <w:pPr>
              <w:jc w:val="center"/>
              <w:rPr>
                <w:rFonts w:ascii="Fauna One" w:hAnsi="Fauna One"/>
                <w:noProof/>
                <w:sz w:val="24"/>
                <w:szCs w:val="24"/>
              </w:rPr>
            </w:pPr>
            <w:r w:rsidRPr="00FD56F9">
              <w:rPr>
                <w:rFonts w:cstheme="minorHAnsi"/>
                <w:noProof/>
              </w:rPr>
              <w:drawing>
                <wp:inline distT="0" distB="0" distL="0" distR="0" wp14:anchorId="42B8E8BC" wp14:editId="4AC54F42">
                  <wp:extent cx="3590290" cy="2100580"/>
                  <wp:effectExtent l="0" t="0" r="3810" b="0"/>
                  <wp:docPr id="16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B81C72" w:rsidRPr="00326565" w14:paraId="2FAA1E50" w14:textId="77777777" w:rsidTr="00AF7638">
        <w:trPr>
          <w:jc w:val="center"/>
        </w:trPr>
        <w:tc>
          <w:tcPr>
            <w:tcW w:w="5716" w:type="dxa"/>
            <w:tcBorders>
              <w:top w:val="nil"/>
              <w:right w:val="nil"/>
            </w:tcBorders>
          </w:tcPr>
          <w:p w14:paraId="575065D7" w14:textId="77777777" w:rsidR="00AF7638" w:rsidRPr="0040037B" w:rsidRDefault="00AF7638" w:rsidP="00AF7638">
            <w:pPr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40037B">
              <w:rPr>
                <w:rFonts w:ascii="Calibri" w:hAnsi="Calibri" w:cs="Calibri"/>
                <w:i/>
                <w:sz w:val="16"/>
                <w:szCs w:val="16"/>
              </w:rPr>
              <w:t>Magnitude of Change</w: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2"/>
              <w:gridCol w:w="1316"/>
              <w:gridCol w:w="222"/>
              <w:gridCol w:w="1368"/>
              <w:gridCol w:w="222"/>
              <w:gridCol w:w="1387"/>
            </w:tblGrid>
            <w:tr w:rsidR="00AF7638" w:rsidRPr="0040037B" w14:paraId="2D426559" w14:textId="77777777" w:rsidTr="00A27871">
              <w:trPr>
                <w:jc w:val="center"/>
              </w:trPr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FBA60"/>
                </w:tcPr>
                <w:p w14:paraId="425FD42E" w14:textId="77777777" w:rsidR="00AF7638" w:rsidRPr="0040037B" w:rsidRDefault="00AF7638" w:rsidP="00AF763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5BB1D7" w14:textId="77777777" w:rsidR="00AF7638" w:rsidRPr="0040037B" w:rsidRDefault="00AF7638" w:rsidP="00AF763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Small (&lt;</w:t>
                  </w:r>
                  <w:r w:rsidRPr="0040037B">
                    <w:rPr>
                      <w:rFonts w:ascii="Calibri" w:hAnsi="Calibri" w:cs="Calibri"/>
                      <w:sz w:val="16"/>
                      <w:szCs w:val="16"/>
                    </w:rPr>
                    <w:t xml:space="preserve"> 3.0)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48D5E0"/>
                </w:tcPr>
                <w:p w14:paraId="65C269BB" w14:textId="77777777" w:rsidR="00AF7638" w:rsidRPr="0040037B" w:rsidRDefault="00AF7638" w:rsidP="00AF763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5F2909" w14:textId="77777777" w:rsidR="00AF7638" w:rsidRPr="0040037B" w:rsidRDefault="00AF7638" w:rsidP="00AF763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0037B">
                    <w:rPr>
                      <w:rFonts w:ascii="Calibri" w:hAnsi="Calibri" w:cs="Calibri"/>
                      <w:sz w:val="16"/>
                      <w:szCs w:val="16"/>
                    </w:rPr>
                    <w:t>Medium (3.0-4.5)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0793E"/>
                </w:tcPr>
                <w:p w14:paraId="53B63302" w14:textId="77777777" w:rsidR="00AF7638" w:rsidRPr="0040037B" w:rsidRDefault="00AF7638" w:rsidP="00AF763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3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FCFAD92" w14:textId="77777777" w:rsidR="00AF7638" w:rsidRPr="0040037B" w:rsidRDefault="00AF7638" w:rsidP="00AF7638">
                  <w:pPr>
                    <w:jc w:val="center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40037B">
                    <w:rPr>
                      <w:rFonts w:ascii="Calibri" w:hAnsi="Calibri" w:cs="Calibri"/>
                      <w:sz w:val="16"/>
                      <w:szCs w:val="16"/>
                    </w:rPr>
                    <w:t>Large (</w:t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>&gt;</w:t>
                  </w:r>
                  <w:r w:rsidRPr="0040037B">
                    <w:rPr>
                      <w:rFonts w:ascii="Calibri" w:hAnsi="Calibri" w:cs="Calibri"/>
                      <w:sz w:val="16"/>
                      <w:szCs w:val="16"/>
                    </w:rPr>
                    <w:t xml:space="preserve"> 4.5)</w:t>
                  </w:r>
                </w:p>
              </w:tc>
            </w:tr>
          </w:tbl>
          <w:p w14:paraId="6736E0B8" w14:textId="77777777" w:rsidR="00FE3656" w:rsidRPr="00326565" w:rsidRDefault="00FE3656" w:rsidP="00663A88">
            <w:pPr>
              <w:rPr>
                <w:rFonts w:ascii="Fauna One" w:hAnsi="Fauna One"/>
                <w:noProof/>
                <w:sz w:val="16"/>
                <w:szCs w:val="16"/>
              </w:rPr>
            </w:pPr>
          </w:p>
        </w:tc>
        <w:tc>
          <w:tcPr>
            <w:tcW w:w="5084" w:type="dxa"/>
            <w:tcBorders>
              <w:top w:val="nil"/>
              <w:left w:val="nil"/>
            </w:tcBorders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435"/>
              <w:gridCol w:w="222"/>
              <w:gridCol w:w="500"/>
            </w:tblGrid>
            <w:tr w:rsidR="000A5DB9" w:rsidRPr="00326565" w14:paraId="468C72ED" w14:textId="77777777" w:rsidTr="00F33BC3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DBE5F1"/>
                </w:tcPr>
                <w:p w14:paraId="6CBF0011" w14:textId="77777777" w:rsidR="000A5DB9" w:rsidRPr="00326565" w:rsidRDefault="000A5DB9" w:rsidP="000A5DB9">
                  <w:pPr>
                    <w:jc w:val="center"/>
                    <w:rPr>
                      <w:rFonts w:ascii="Fauna One" w:hAnsi="Fauna One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76728362" w14:textId="77777777" w:rsidR="000A5DB9" w:rsidRPr="00326565" w:rsidRDefault="000A5DB9" w:rsidP="000A5DB9">
                  <w:pPr>
                    <w:jc w:val="center"/>
                    <w:rPr>
                      <w:rFonts w:ascii="Fauna One" w:hAnsi="Fauna One"/>
                      <w:sz w:val="16"/>
                      <w:szCs w:val="16"/>
                    </w:rPr>
                  </w:pPr>
                  <w:r w:rsidRPr="00326565">
                    <w:rPr>
                      <w:rFonts w:ascii="Fauna One" w:hAnsi="Fauna One"/>
                      <w:sz w:val="16"/>
                      <w:szCs w:val="16"/>
                    </w:rPr>
                    <w:t>Pre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17365D"/>
                </w:tcPr>
                <w:p w14:paraId="22274682" w14:textId="77777777" w:rsidR="000A5DB9" w:rsidRPr="00326565" w:rsidRDefault="000A5DB9" w:rsidP="000A5DB9">
                  <w:pPr>
                    <w:jc w:val="center"/>
                    <w:rPr>
                      <w:rFonts w:ascii="Fauna One" w:hAnsi="Fauna One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auto"/>
                </w:tcPr>
                <w:p w14:paraId="57C89F19" w14:textId="77777777" w:rsidR="000A5DB9" w:rsidRPr="00326565" w:rsidRDefault="000A5DB9" w:rsidP="000A5DB9">
                  <w:pPr>
                    <w:jc w:val="center"/>
                    <w:rPr>
                      <w:rFonts w:ascii="Fauna One" w:hAnsi="Fauna One"/>
                      <w:sz w:val="16"/>
                      <w:szCs w:val="16"/>
                    </w:rPr>
                  </w:pPr>
                  <w:r w:rsidRPr="00326565">
                    <w:rPr>
                      <w:rFonts w:ascii="Fauna One" w:hAnsi="Fauna One"/>
                      <w:sz w:val="16"/>
                      <w:szCs w:val="16"/>
                    </w:rPr>
                    <w:t>Post</w:t>
                  </w:r>
                </w:p>
              </w:tc>
            </w:tr>
          </w:tbl>
          <w:p w14:paraId="0082449F" w14:textId="77777777" w:rsidR="00FE3656" w:rsidRPr="00326565" w:rsidRDefault="00FE3656" w:rsidP="00663A88">
            <w:pPr>
              <w:jc w:val="center"/>
              <w:rPr>
                <w:rFonts w:ascii="Fauna One" w:hAnsi="Fauna One"/>
                <w:sz w:val="4"/>
                <w:szCs w:val="4"/>
              </w:rPr>
            </w:pPr>
          </w:p>
          <w:p w14:paraId="208F2C7B" w14:textId="77777777" w:rsidR="00FE3656" w:rsidRPr="00326565" w:rsidRDefault="00FE3656" w:rsidP="00663A88">
            <w:pPr>
              <w:jc w:val="center"/>
              <w:rPr>
                <w:rFonts w:ascii="Fauna One" w:hAnsi="Fauna One"/>
                <w:noProof/>
                <w:sz w:val="16"/>
                <w:szCs w:val="16"/>
              </w:rPr>
            </w:pPr>
            <w:r w:rsidRPr="00326565">
              <w:rPr>
                <w:rFonts w:ascii="Fauna One" w:hAnsi="Fauna One"/>
                <w:sz w:val="16"/>
                <w:szCs w:val="16"/>
              </w:rPr>
              <w:t>*Statistically significant (</w:t>
            </w:r>
            <w:r w:rsidRPr="00326565">
              <w:rPr>
                <w:rFonts w:ascii="Fauna One" w:hAnsi="Fauna One"/>
                <w:i/>
                <w:sz w:val="16"/>
                <w:szCs w:val="16"/>
              </w:rPr>
              <w:t xml:space="preserve">p </w:t>
            </w:r>
            <w:r w:rsidRPr="00326565">
              <w:rPr>
                <w:rFonts w:ascii="Fauna One" w:hAnsi="Fauna One"/>
                <w:sz w:val="16"/>
                <w:szCs w:val="16"/>
              </w:rPr>
              <w:t>≤ .05).</w:t>
            </w:r>
          </w:p>
        </w:tc>
      </w:tr>
    </w:tbl>
    <w:p w14:paraId="2C59A7D0" w14:textId="77777777" w:rsidR="00535EDC" w:rsidRDefault="00535EDC" w:rsidP="00326565">
      <w:pPr>
        <w:ind w:right="-1080" w:hanging="1080"/>
        <w:rPr>
          <w:rFonts w:ascii="Fauna One" w:hAnsi="Fauna One"/>
        </w:rPr>
      </w:pPr>
    </w:p>
    <w:p w14:paraId="06879000" w14:textId="77777777" w:rsidR="00FE3656" w:rsidRPr="000A5DB9" w:rsidRDefault="00EC18B8" w:rsidP="00326565">
      <w:pPr>
        <w:ind w:right="-1080" w:hanging="1080"/>
        <w:rPr>
          <w:rFonts w:ascii="Fauna One" w:hAnsi="Fauna One"/>
          <w:b/>
          <w:bCs/>
        </w:rPr>
      </w:pPr>
      <w:r w:rsidRPr="000A5DB9">
        <w:rPr>
          <w:rFonts w:ascii="Fauna One" w:hAnsi="Fauna One"/>
          <w:b/>
          <w:bCs/>
        </w:rPr>
        <w:t>RESULTS</w:t>
      </w:r>
      <w:r w:rsidR="00FE3656" w:rsidRPr="000A5DB9">
        <w:rPr>
          <w:rFonts w:ascii="Fauna One" w:hAnsi="Fauna One"/>
          <w:b/>
          <w:bCs/>
        </w:rPr>
        <w:t>:</w:t>
      </w:r>
    </w:p>
    <w:p w14:paraId="19ABF907" w14:textId="12A41577" w:rsidR="00EC18B8" w:rsidRPr="00EE6419" w:rsidRDefault="00FE3656" w:rsidP="00326565">
      <w:pPr>
        <w:ind w:left="-1080" w:right="-1080"/>
        <w:jc w:val="both"/>
        <w:rPr>
          <w:rFonts w:ascii="Fauna One" w:eastAsia="Calibri" w:hAnsi="Fauna One" w:cs="Arial"/>
          <w:sz w:val="22"/>
          <w:szCs w:val="22"/>
        </w:rPr>
      </w:pPr>
      <w:r w:rsidRPr="00EE6419">
        <w:rPr>
          <w:rFonts w:ascii="Fauna One" w:eastAsia="Calibri" w:hAnsi="Fauna One" w:cs="Arial"/>
          <w:sz w:val="22"/>
          <w:szCs w:val="22"/>
        </w:rPr>
        <w:t xml:space="preserve">On average, </w:t>
      </w:r>
      <w:r w:rsidR="009D4BB1" w:rsidRPr="00EE6419">
        <w:rPr>
          <w:rFonts w:ascii="Fauna One" w:eastAsia="Calibri" w:hAnsi="Fauna One" w:cs="Arial"/>
          <w:sz w:val="22"/>
          <w:szCs w:val="22"/>
        </w:rPr>
        <w:t xml:space="preserve">Seeing Stars </w:t>
      </w:r>
      <w:r w:rsidRPr="00EE6419">
        <w:rPr>
          <w:rFonts w:ascii="Fauna One" w:eastAsia="Calibri" w:hAnsi="Fauna One" w:cs="Arial"/>
          <w:sz w:val="22"/>
          <w:szCs w:val="22"/>
        </w:rPr>
        <w:t xml:space="preserve">students achieved significant improvements in </w:t>
      </w:r>
      <w:r w:rsidR="009D4BB1" w:rsidRPr="00EE6419">
        <w:rPr>
          <w:rFonts w:ascii="Fauna One" w:eastAsia="Calibri" w:hAnsi="Fauna One" w:cs="Arial"/>
          <w:sz w:val="22"/>
          <w:szCs w:val="22"/>
        </w:rPr>
        <w:t xml:space="preserve">reading. </w:t>
      </w:r>
      <w:r w:rsidRPr="00EE6419">
        <w:rPr>
          <w:rFonts w:ascii="Fauna One" w:eastAsia="Calibri" w:hAnsi="Fauna One" w:cs="Arial"/>
          <w:sz w:val="22"/>
          <w:szCs w:val="22"/>
        </w:rPr>
        <w:t xml:space="preserve">They made large standard score changes on </w:t>
      </w:r>
      <w:r w:rsidR="007114D0">
        <w:rPr>
          <w:rFonts w:ascii="Fauna One" w:eastAsia="Calibri" w:hAnsi="Fauna One" w:cs="Arial"/>
          <w:sz w:val="22"/>
          <w:szCs w:val="22"/>
        </w:rPr>
        <w:t>the foundational skills underlying reading, as well as a 4.5 standard score change in Reading Fluency</w:t>
      </w:r>
      <w:r w:rsidRPr="00EE6419">
        <w:rPr>
          <w:rFonts w:ascii="Fauna One" w:eastAsia="Calibri" w:hAnsi="Fauna One" w:cs="Arial"/>
          <w:sz w:val="22"/>
          <w:szCs w:val="22"/>
        </w:rPr>
        <w:t xml:space="preserve">. Additionally, </w:t>
      </w:r>
      <w:r w:rsidR="007114D0">
        <w:rPr>
          <w:rFonts w:ascii="Fauna One" w:eastAsia="Calibri" w:hAnsi="Fauna One" w:cs="Arial"/>
          <w:sz w:val="22"/>
          <w:szCs w:val="22"/>
        </w:rPr>
        <w:t>their</w:t>
      </w:r>
      <w:r w:rsidRPr="00EE6419">
        <w:rPr>
          <w:rFonts w:ascii="Fauna One" w:eastAsia="Calibri" w:hAnsi="Fauna One" w:cs="Arial"/>
          <w:sz w:val="22"/>
          <w:szCs w:val="22"/>
        </w:rPr>
        <w:t xml:space="preserve"> pre- to posttest results were statistically significant on all measures</w:t>
      </w:r>
      <w:bookmarkStart w:id="0" w:name="_GoBack"/>
      <w:bookmarkEnd w:id="0"/>
      <w:r w:rsidRPr="00EE6419">
        <w:rPr>
          <w:rFonts w:ascii="Fauna One" w:eastAsia="Calibri" w:hAnsi="Fauna One" w:cs="Arial"/>
          <w:sz w:val="22"/>
          <w:szCs w:val="22"/>
        </w:rPr>
        <w:t>. The results of this study illustrate that Lindamood-Bell instruction in the Seeing Stars</w:t>
      </w:r>
      <w:r w:rsidR="009D4BB1" w:rsidRPr="00EE6419">
        <w:rPr>
          <w:rFonts w:ascii="Fauna One" w:eastAsia="Calibri" w:hAnsi="Fauna One" w:cs="Arial"/>
          <w:sz w:val="22"/>
          <w:szCs w:val="22"/>
        </w:rPr>
        <w:t xml:space="preserve"> </w:t>
      </w:r>
      <w:r w:rsidRPr="00EE6419">
        <w:rPr>
          <w:rFonts w:ascii="Fauna One" w:eastAsia="Calibri" w:hAnsi="Fauna One" w:cs="Arial"/>
          <w:sz w:val="22"/>
          <w:szCs w:val="22"/>
        </w:rPr>
        <w:t>program lead</w:t>
      </w:r>
      <w:r w:rsidR="009D4BB1" w:rsidRPr="00EE6419">
        <w:rPr>
          <w:rFonts w:ascii="Fauna One" w:eastAsia="Calibri" w:hAnsi="Fauna One" w:cs="Arial"/>
          <w:sz w:val="22"/>
          <w:szCs w:val="22"/>
        </w:rPr>
        <w:t>s to improved reading</w:t>
      </w:r>
      <w:r w:rsidRPr="00EE6419">
        <w:rPr>
          <w:rFonts w:ascii="Fauna One" w:eastAsia="Calibri" w:hAnsi="Fauna One" w:cs="Arial"/>
          <w:sz w:val="22"/>
          <w:szCs w:val="22"/>
        </w:rPr>
        <w:t>, which is essential to achieving success with school curricula.</w:t>
      </w:r>
    </w:p>
    <w:sectPr w:rsidR="00EC18B8" w:rsidRPr="00EE6419" w:rsidSect="003E5917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800" w:bottom="360" w:left="180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FCCF2" w14:textId="77777777" w:rsidR="007E17F0" w:rsidRDefault="007E17F0" w:rsidP="008A02E3">
      <w:r>
        <w:separator/>
      </w:r>
    </w:p>
  </w:endnote>
  <w:endnote w:type="continuationSeparator" w:id="0">
    <w:p w14:paraId="13B6C7CC" w14:textId="77777777" w:rsidR="007E17F0" w:rsidRDefault="007E17F0" w:rsidP="008A0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auna One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2F720" w14:textId="77777777" w:rsidR="007F4A24" w:rsidRPr="003E5917" w:rsidRDefault="007F4A24" w:rsidP="003E5917">
    <w:pPr>
      <w:jc w:val="center"/>
      <w:rPr>
        <w:rFonts w:ascii="Fauna One" w:eastAsia="Times New Roman" w:hAnsi="Fauna One" w:cs="Times New Roman"/>
        <w:sz w:val="16"/>
        <w:szCs w:val="16"/>
      </w:rPr>
    </w:pPr>
    <w:r w:rsidRPr="003E5917">
      <w:rPr>
        <w:rFonts w:ascii="Fauna One" w:eastAsia="Times New Roman" w:hAnsi="Fauna One" w:cs="Arial"/>
        <w:color w:val="222222"/>
        <w:sz w:val="16"/>
        <w:szCs w:val="16"/>
        <w:shd w:val="clear" w:color="auto" w:fill="FFFFFF"/>
      </w:rPr>
      <w:t>© Lindamood-Bell Learning Processes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7BE68" w14:textId="77777777" w:rsidR="007F4A24" w:rsidRDefault="00212A20">
    <w:pPr>
      <w:pStyle w:val="Footer"/>
    </w:pPr>
    <w:r>
      <w:rPr>
        <w:rStyle w:val="PageNumber"/>
      </w:rPr>
      <w:fldChar w:fldCharType="begin"/>
    </w:r>
    <w:r w:rsidR="007F4A24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F4A24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 w:rsidR="007F4A24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F4A24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9EBEF" w14:textId="77777777" w:rsidR="007E17F0" w:rsidRDefault="007E17F0" w:rsidP="008A02E3">
      <w:r>
        <w:separator/>
      </w:r>
    </w:p>
  </w:footnote>
  <w:footnote w:type="continuationSeparator" w:id="0">
    <w:p w14:paraId="39AA7F5B" w14:textId="77777777" w:rsidR="007E17F0" w:rsidRDefault="007E17F0" w:rsidP="008A0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F1ED8" w14:textId="77777777" w:rsidR="007F4A24" w:rsidRDefault="007E17F0">
    <w:pPr>
      <w:pStyle w:val="Header"/>
    </w:pPr>
    <w:r>
      <w:rPr>
        <w:noProof/>
      </w:rPr>
      <w:pict w14:anchorId="552011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SI box" style="position:absolute;margin-left:0;margin-top:0;width:551.6pt;height:162.5pt;z-index:-251656192;mso-wrap-edited:f;mso-width-percent:0;mso-height-percent:0;mso-position-horizontal:center;mso-position-horizontal-relative:margin;mso-position-vertical:center;mso-position-vertical-relative:margin;mso-width-percent:0;mso-height-percent:0" wrapcoords="382 0 235 199 -29 1194 -29 19509 0 20604 293 21400 323 21400 21247 21400 21276 21400 21570 20604 21600 19509 21600 1194 21364 298 21188 0 382 0">
          <v:imagedata r:id="rId1" o:title="SI box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DC543" w14:textId="77777777" w:rsidR="007F4A24" w:rsidRDefault="007E17F0" w:rsidP="008A02E3">
    <w:pPr>
      <w:pStyle w:val="Header"/>
      <w:tabs>
        <w:tab w:val="clear" w:pos="4320"/>
        <w:tab w:val="clear" w:pos="8640"/>
        <w:tab w:val="left" w:pos="2968"/>
      </w:tabs>
    </w:pPr>
    <w:r>
      <w:rPr>
        <w:noProof/>
      </w:rPr>
      <w:pict w14:anchorId="7E61B6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SI box" style="position:absolute;margin-left:-60pt;margin-top:25.45pt;width:551.6pt;height:162.5pt;z-index:-251657216;mso-wrap-edited:f;mso-width-percent:0;mso-height-percent:0;mso-position-horizontal-relative:margin;mso-position-vertical-relative:margin;mso-width-percent:0;mso-height-percent:0" wrapcoords="382 0 235 199 -29 1194 -29 19509 0 20604 293 21400 323 21400 21247 21400 21276 21400 21570 20604 21600 19509 21600 1194 21364 298 21188 0 382 0">
          <v:imagedata r:id="rId1" o:title="SI box"/>
          <w10:wrap anchorx="margin" anchory="margin"/>
        </v:shape>
      </w:pict>
    </w:r>
    <w:r w:rsidR="007F4A24">
      <w:rPr>
        <w:noProof/>
      </w:rPr>
      <w:drawing>
        <wp:anchor distT="0" distB="0" distL="114300" distR="114300" simplePos="0" relativeHeight="251658240" behindDoc="0" locked="0" layoutInCell="1" allowOverlap="1" wp14:anchorId="1CE67C16" wp14:editId="5133107D">
          <wp:simplePos x="0" y="0"/>
          <wp:positionH relativeFrom="column">
            <wp:posOffset>-659130</wp:posOffset>
          </wp:positionH>
          <wp:positionV relativeFrom="paragraph">
            <wp:posOffset>47625</wp:posOffset>
          </wp:positionV>
          <wp:extent cx="6858000" cy="1022985"/>
          <wp:effectExtent l="0" t="0" r="0" b="0"/>
          <wp:wrapTight wrapText="bothSides">
            <wp:wrapPolygon edited="0">
              <wp:start x="0" y="0"/>
              <wp:lineTo x="0" y="20916"/>
              <wp:lineTo x="21520" y="20916"/>
              <wp:lineTo x="21520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earch Article-head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0229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715E8" w14:textId="77777777" w:rsidR="007F4A24" w:rsidRDefault="007E17F0">
    <w:pPr>
      <w:pStyle w:val="Header"/>
    </w:pPr>
    <w:r>
      <w:rPr>
        <w:noProof/>
      </w:rPr>
      <w:pict w14:anchorId="2F0C63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SI box" style="position:absolute;margin-left:0;margin-top:0;width:551.6pt;height:162.5pt;z-index:-251655168;mso-wrap-edited:f;mso-width-percent:0;mso-height-percent:0;mso-position-horizontal:center;mso-position-horizontal-relative:margin;mso-position-vertical:center;mso-position-vertical-relative:margin;mso-width-percent:0;mso-height-percent:0" wrapcoords="382 0 235 199 -29 1194 -29 19509 0 20604 293 21400 323 21400 21247 21400 21276 21400 21570 20604 21600 19509 21600 1194 21364 298 21188 0 382 0">
          <v:imagedata r:id="rId1" o:title="SI box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81C4C"/>
    <w:multiLevelType w:val="hybridMultilevel"/>
    <w:tmpl w:val="7CEA8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D0291"/>
    <w:multiLevelType w:val="hybridMultilevel"/>
    <w:tmpl w:val="692E8CC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6C0B3428"/>
    <w:multiLevelType w:val="hybridMultilevel"/>
    <w:tmpl w:val="3FB2075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2E3"/>
    <w:rsid w:val="000713A6"/>
    <w:rsid w:val="000A5DB9"/>
    <w:rsid w:val="00212A20"/>
    <w:rsid w:val="00223DD5"/>
    <w:rsid w:val="00326565"/>
    <w:rsid w:val="0039325A"/>
    <w:rsid w:val="003B4F95"/>
    <w:rsid w:val="003C0131"/>
    <w:rsid w:val="003C6EDC"/>
    <w:rsid w:val="003E5917"/>
    <w:rsid w:val="0048085F"/>
    <w:rsid w:val="00535EDC"/>
    <w:rsid w:val="00554A71"/>
    <w:rsid w:val="00582A9D"/>
    <w:rsid w:val="005A5D91"/>
    <w:rsid w:val="00651EBD"/>
    <w:rsid w:val="00694F64"/>
    <w:rsid w:val="006C237A"/>
    <w:rsid w:val="006E7033"/>
    <w:rsid w:val="006F01B2"/>
    <w:rsid w:val="007114D0"/>
    <w:rsid w:val="007118C1"/>
    <w:rsid w:val="007203F8"/>
    <w:rsid w:val="007356E9"/>
    <w:rsid w:val="00745C9C"/>
    <w:rsid w:val="00766CAA"/>
    <w:rsid w:val="007E17F0"/>
    <w:rsid w:val="007F4A24"/>
    <w:rsid w:val="008148C9"/>
    <w:rsid w:val="00845B55"/>
    <w:rsid w:val="008A02E3"/>
    <w:rsid w:val="009D4BB1"/>
    <w:rsid w:val="00A252A6"/>
    <w:rsid w:val="00AC4685"/>
    <w:rsid w:val="00AF7638"/>
    <w:rsid w:val="00B1311E"/>
    <w:rsid w:val="00B81C72"/>
    <w:rsid w:val="00C3438C"/>
    <w:rsid w:val="00C724DC"/>
    <w:rsid w:val="00CA30CF"/>
    <w:rsid w:val="00CD6AF6"/>
    <w:rsid w:val="00D865C6"/>
    <w:rsid w:val="00E50BCC"/>
    <w:rsid w:val="00EC18B8"/>
    <w:rsid w:val="00EE6419"/>
    <w:rsid w:val="00FE3656"/>
    <w:rsid w:val="00FF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793AA39D"/>
  <w15:docId w15:val="{60476026-31F5-E74F-AF90-1EC7C3073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A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02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2E3"/>
  </w:style>
  <w:style w:type="paragraph" w:styleId="Footer">
    <w:name w:val="footer"/>
    <w:basedOn w:val="Normal"/>
    <w:link w:val="FooterChar"/>
    <w:uiPriority w:val="99"/>
    <w:unhideWhenUsed/>
    <w:rsid w:val="008A02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02E3"/>
  </w:style>
  <w:style w:type="paragraph" w:styleId="BalloonText">
    <w:name w:val="Balloon Text"/>
    <w:basedOn w:val="Normal"/>
    <w:link w:val="BalloonTextChar"/>
    <w:uiPriority w:val="99"/>
    <w:semiHidden/>
    <w:unhideWhenUsed/>
    <w:rsid w:val="008A02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2E3"/>
    <w:rPr>
      <w:rFonts w:ascii="Lucida Grande" w:hAnsi="Lucida Grande" w:cs="Lucida Grande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6F01B2"/>
    <w:pPr>
      <w:spacing w:after="200"/>
    </w:pPr>
    <w:rPr>
      <w:b/>
      <w:bCs/>
      <w:color w:val="4F81BD" w:themeColor="accent1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3E5917"/>
  </w:style>
  <w:style w:type="table" w:styleId="TableGrid">
    <w:name w:val="Table Grid"/>
    <w:basedOn w:val="TableNormal"/>
    <w:uiPriority w:val="59"/>
    <w:rsid w:val="00FE3656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3656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/>
          <a:lstStyle/>
          <a:p>
            <a:pPr>
              <a:defRPr b="0" i="1"/>
            </a:pPr>
            <a:r>
              <a:rPr lang="en-US" sz="1100" b="0" i="1" baseline="0">
                <a:latin typeface="Avenir" pitchFamily="34" charset="0"/>
              </a:rPr>
              <a:t>Average Standard Score Changes</a:t>
            </a:r>
            <a:endParaRPr lang="en-US" sz="1100" b="0" i="1" baseline="30000">
              <a:latin typeface="Avenir" pitchFamily="34" charset="0"/>
            </a:endParaRPr>
          </a:p>
        </c:rich>
      </c:tx>
      <c:layout>
        <c:manualLayout>
          <c:xMode val="edge"/>
          <c:yMode val="edge"/>
          <c:x val="0.19435802930525664"/>
          <c:y val="2.5487483580221987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3779912137901646E-2"/>
          <c:y val="0.18888302733547821"/>
          <c:w val="0.91527707749594955"/>
          <c:h val="0.5922197047306408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Decreased</c:v>
                </c:pt>
              </c:strCache>
            </c:strRef>
          </c:tx>
          <c:spPr>
            <a:solidFill>
              <a:srgbClr val="F0793E"/>
            </a:solidFill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3BD9-F14C-809E-97AACD6979D5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3BD9-F14C-809E-97AACD6979D5}"/>
              </c:ext>
            </c:extLst>
          </c:dPt>
          <c:dPt>
            <c:idx val="2"/>
            <c:invertIfNegative val="0"/>
            <c:bubble3D val="0"/>
            <c:spPr>
              <a:solidFill>
                <a:srgbClr val="48D5E0"/>
              </a:solidFill>
            </c:spPr>
            <c:extLst>
              <c:ext xmlns:c16="http://schemas.microsoft.com/office/drawing/2014/chart" uri="{C3380CC4-5D6E-409C-BE32-E72D297353CC}">
                <c16:uniqueId val="{00000003-3BD9-F14C-809E-97AACD6979D5}"/>
              </c:ext>
            </c:extLst>
          </c:dPt>
          <c:dPt>
            <c:idx val="3"/>
            <c:invertIfNegative val="0"/>
            <c:bubble3D val="0"/>
            <c:spPr>
              <a:solidFill>
                <a:srgbClr val="6FBA60"/>
              </a:solidFill>
            </c:spPr>
            <c:extLst>
              <c:ext xmlns:c16="http://schemas.microsoft.com/office/drawing/2014/chart" uri="{C3380CC4-5D6E-409C-BE32-E72D297353CC}">
                <c16:uniqueId val="{00000005-3BD9-F14C-809E-97AACD6979D5}"/>
              </c:ext>
            </c:extLst>
          </c:dPt>
          <c:dPt>
            <c:idx val="4"/>
            <c:invertIfNegative val="0"/>
            <c:bubble3D val="0"/>
            <c:spPr>
              <a:solidFill>
                <a:srgbClr val="6FBA60"/>
              </a:solidFill>
            </c:spPr>
            <c:extLst>
              <c:ext xmlns:c16="http://schemas.microsoft.com/office/drawing/2014/chart" uri="{C3380CC4-5D6E-409C-BE32-E72D297353CC}">
                <c16:uniqueId val="{00000007-3BD9-F14C-809E-97AACD6979D5}"/>
              </c:ext>
            </c:extLst>
          </c:dPt>
          <c:dPt>
            <c:idx val="5"/>
            <c:invertIfNegative val="0"/>
            <c:bubble3D val="0"/>
            <c:spPr>
              <a:solidFill>
                <a:srgbClr val="48D5E0"/>
              </a:solidFill>
            </c:spPr>
            <c:extLst>
              <c:ext xmlns:c16="http://schemas.microsoft.com/office/drawing/2014/chart" uri="{C3380CC4-5D6E-409C-BE32-E72D297353CC}">
                <c16:uniqueId val="{00000009-3BD9-F14C-809E-97AACD6979D5}"/>
              </c:ext>
            </c:extLst>
          </c:dPt>
          <c:dPt>
            <c:idx val="6"/>
            <c:invertIfNegative val="0"/>
            <c:bubble3D val="0"/>
            <c:spPr>
              <a:solidFill>
                <a:srgbClr val="6FBA60"/>
              </a:solidFill>
            </c:spPr>
            <c:extLst>
              <c:ext xmlns:c16="http://schemas.microsoft.com/office/drawing/2014/chart" uri="{C3380CC4-5D6E-409C-BE32-E72D297353CC}">
                <c16:uniqueId val="{0000000B-3BD9-F14C-809E-97AACD6979D5}"/>
              </c:ext>
            </c:extLst>
          </c:dPt>
          <c:dPt>
            <c:idx val="7"/>
            <c:invertIfNegative val="0"/>
            <c:bubble3D val="0"/>
            <c:spPr>
              <a:solidFill>
                <a:srgbClr val="6FBA60"/>
              </a:solidFill>
            </c:spPr>
            <c:extLst>
              <c:ext xmlns:c16="http://schemas.microsoft.com/office/drawing/2014/chart" uri="{C3380CC4-5D6E-409C-BE32-E72D297353CC}">
                <c16:uniqueId val="{0000000D-3BD9-F14C-809E-97AACD6979D5}"/>
              </c:ext>
            </c:extLst>
          </c:dPt>
          <c:dPt>
            <c:idx val="8"/>
            <c:invertIfNegative val="0"/>
            <c:bubble3D val="0"/>
            <c:spPr>
              <a:solidFill>
                <a:srgbClr val="6FBA60"/>
              </a:solidFill>
            </c:spPr>
            <c:extLst>
              <c:ext xmlns:c16="http://schemas.microsoft.com/office/drawing/2014/chart" uri="{C3380CC4-5D6E-409C-BE32-E72D297353CC}">
                <c16:uniqueId val="{0000000F-3BD9-F14C-809E-97AACD6979D5}"/>
              </c:ext>
            </c:extLst>
          </c:dPt>
          <c:dPt>
            <c:idx val="9"/>
            <c:invertIfNegative val="0"/>
            <c:bubble3D val="0"/>
            <c:spPr>
              <a:solidFill>
                <a:srgbClr val="6FBA60"/>
              </a:solidFill>
            </c:spPr>
            <c:extLst>
              <c:ext xmlns:c16="http://schemas.microsoft.com/office/drawing/2014/chart" uri="{C3380CC4-5D6E-409C-BE32-E72D297353CC}">
                <c16:uniqueId val="{00000011-3BD9-F14C-809E-97AACD6979D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anchor="t" anchorCtr="1"/>
              <a:lstStyle/>
              <a:p>
                <a:pPr>
                  <a:defRPr sz="9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Sheet1!$A$2:$A$9</c:f>
              <c:strCache>
                <c:ptCount val="8"/>
                <c:pt idx="0">
                  <c:v>Sym Imag</c:v>
                </c:pt>
                <c:pt idx="1">
                  <c:v>Word Att</c:v>
                </c:pt>
                <c:pt idx="2">
                  <c:v>Word Rec</c:v>
                </c:pt>
                <c:pt idx="3">
                  <c:v>Spelling</c:v>
                </c:pt>
                <c:pt idx="4">
                  <c:v>Rate</c:v>
                </c:pt>
                <c:pt idx="5">
                  <c:v>Accuracy</c:v>
                </c:pt>
                <c:pt idx="6">
                  <c:v>Fluency</c:v>
                </c:pt>
                <c:pt idx="7">
                  <c:v>Comp</c:v>
                </c:pt>
              </c:strCache>
            </c:strRef>
          </c:cat>
          <c:val>
            <c:numRef>
              <c:f>Sheet1!$B$2:$B$9</c:f>
              <c:numCache>
                <c:formatCode>0.0</c:formatCode>
                <c:ptCount val="8"/>
                <c:pt idx="0">
                  <c:v>5.8283753000000003</c:v>
                </c:pt>
                <c:pt idx="1">
                  <c:v>4.7505721000000003</c:v>
                </c:pt>
                <c:pt idx="2">
                  <c:v>2.9702516999999999</c:v>
                </c:pt>
                <c:pt idx="3">
                  <c:v>1.9702516999999999</c:v>
                </c:pt>
                <c:pt idx="4">
                  <c:v>2.6201373000000001</c:v>
                </c:pt>
                <c:pt idx="5">
                  <c:v>4.5194508000000004</c:v>
                </c:pt>
                <c:pt idx="6">
                  <c:v>2.8032037000000001</c:v>
                </c:pt>
                <c:pt idx="7">
                  <c:v>2.7116704999999999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3BD9-F14C-809E-97AACD6979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4320896"/>
        <c:axId val="94359936"/>
        <c:axId val="0"/>
      </c:bar3DChart>
      <c:catAx>
        <c:axId val="943208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2700000"/>
          <a:lstStyle/>
          <a:p>
            <a:pPr>
              <a:defRPr sz="700"/>
            </a:pPr>
            <a:endParaRPr lang="en-US"/>
          </a:p>
        </c:txPr>
        <c:crossAx val="94359936"/>
        <c:crosses val="autoZero"/>
        <c:auto val="1"/>
        <c:lblAlgn val="ctr"/>
        <c:lblOffset val="100"/>
        <c:noMultiLvlLbl val="0"/>
      </c:catAx>
      <c:valAx>
        <c:axId val="94359936"/>
        <c:scaling>
          <c:orientation val="minMax"/>
          <c:min val="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sz="800" b="0"/>
                  <a:t>Change</a:t>
                </a:r>
              </a:p>
            </c:rich>
          </c:tx>
          <c:layout>
            <c:manualLayout>
              <c:xMode val="edge"/>
              <c:yMode val="edge"/>
              <c:x val="0"/>
              <c:y val="0.38110335923109329"/>
            </c:manualLayout>
          </c:layout>
          <c:overlay val="0"/>
        </c:title>
        <c:numFmt formatCode="0.0" sourceLinked="1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en-US"/>
          </a:p>
        </c:txPr>
        <c:crossAx val="94320896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Avenir" pitchFamily="34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="0" i="1"/>
            </a:pPr>
            <a:r>
              <a:rPr lang="en-US" sz="1100" b="0" i="1"/>
              <a:t>Pre- and Retest Percentiles</a:t>
            </a:r>
          </a:p>
        </c:rich>
      </c:tx>
      <c:layout>
        <c:manualLayout>
          <c:xMode val="edge"/>
          <c:yMode val="edge"/>
          <c:x val="0.26137359377654729"/>
          <c:y val="2.4079063877595716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0642523475179745E-2"/>
          <c:y val="0.16885196904932531"/>
          <c:w val="0.90935746153688368"/>
          <c:h val="0.6088151843776480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Pretest</c:v>
                </c:pt>
              </c:strCache>
            </c:strRef>
          </c:tx>
          <c:spPr>
            <a:solidFill>
              <a:srgbClr val="B2E0F0"/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277-C34C-A2FC-B99A4FF78C51}"/>
                </c:ext>
              </c:extLst>
            </c:dLbl>
            <c:dLbl>
              <c:idx val="1"/>
              <c:layout>
                <c:manualLayout>
                  <c:x val="-4.962779156327543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277-C34C-A2FC-B99A4FF78C5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Sheet1!$A$2:$A$9</c:f>
              <c:strCache>
                <c:ptCount val="8"/>
                <c:pt idx="0">
                  <c:v>Sym Imag*</c:v>
                </c:pt>
                <c:pt idx="1">
                  <c:v>Word Att*</c:v>
                </c:pt>
                <c:pt idx="2">
                  <c:v>Word Rec*</c:v>
                </c:pt>
                <c:pt idx="3">
                  <c:v>Spelling*</c:v>
                </c:pt>
                <c:pt idx="4">
                  <c:v>Rate*</c:v>
                </c:pt>
                <c:pt idx="5">
                  <c:v>Accuracy*</c:v>
                </c:pt>
                <c:pt idx="6">
                  <c:v>Fluency*</c:v>
                </c:pt>
                <c:pt idx="7">
                  <c:v>Comp*</c:v>
                </c:pt>
              </c:strCache>
            </c:strRef>
          </c:cat>
          <c:val>
            <c:numRef>
              <c:f>Sheet1!$B$2:$B$9</c:f>
              <c:numCache>
                <c:formatCode>General</c:formatCode>
                <c:ptCount val="8"/>
                <c:pt idx="0">
                  <c:v>23</c:v>
                </c:pt>
                <c:pt idx="1">
                  <c:v>14</c:v>
                </c:pt>
                <c:pt idx="2">
                  <c:v>18</c:v>
                </c:pt>
                <c:pt idx="3">
                  <c:v>14</c:v>
                </c:pt>
                <c:pt idx="4">
                  <c:v>4</c:v>
                </c:pt>
                <c:pt idx="5">
                  <c:v>5</c:v>
                </c:pt>
                <c:pt idx="6">
                  <c:v>3</c:v>
                </c:pt>
                <c:pt idx="7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277-C34C-A2FC-B99A4FF78C5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Retest</c:v>
                </c:pt>
              </c:strCache>
            </c:strRef>
          </c:tx>
          <c:spPr>
            <a:solidFill>
              <a:srgbClr val="23425B"/>
            </a:solidFill>
          </c:spPr>
          <c:invertIfNegative val="0"/>
          <c:dLbls>
            <c:dLbl>
              <c:idx val="2"/>
              <c:layout>
                <c:manualLayout>
                  <c:x val="7.444168734491315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277-C34C-A2FC-B99A4FF78C51}"/>
                </c:ext>
              </c:extLst>
            </c:dLbl>
            <c:dLbl>
              <c:idx val="3"/>
              <c:layout>
                <c:manualLayout>
                  <c:x val="7.444168734491315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277-C34C-A2FC-B99A4FF78C51}"/>
                </c:ext>
              </c:extLst>
            </c:dLbl>
            <c:dLbl>
              <c:idx val="7"/>
              <c:layout>
                <c:manualLayout>
                  <c:x val="7.444168734491315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277-C34C-A2FC-B99A4FF78C51}"/>
                </c:ext>
              </c:extLst>
            </c:dLbl>
            <c:dLbl>
              <c:idx val="8"/>
              <c:layout>
                <c:manualLayout>
                  <c:x val="7.44416873449113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277-C34C-A2FC-B99A4FF78C51}"/>
                </c:ext>
              </c:extLst>
            </c:dLbl>
            <c:dLbl>
              <c:idx val="9"/>
              <c:layout>
                <c:manualLayout>
                  <c:x val="9.925558312655086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277-C34C-A2FC-B99A4FF78C5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Sheet1!$A$2:$A$9</c:f>
              <c:strCache>
                <c:ptCount val="8"/>
                <c:pt idx="0">
                  <c:v>Sym Imag*</c:v>
                </c:pt>
                <c:pt idx="1">
                  <c:v>Word Att*</c:v>
                </c:pt>
                <c:pt idx="2">
                  <c:v>Word Rec*</c:v>
                </c:pt>
                <c:pt idx="3">
                  <c:v>Spelling*</c:v>
                </c:pt>
                <c:pt idx="4">
                  <c:v>Rate*</c:v>
                </c:pt>
                <c:pt idx="5">
                  <c:v>Accuracy*</c:v>
                </c:pt>
                <c:pt idx="6">
                  <c:v>Fluency*</c:v>
                </c:pt>
                <c:pt idx="7">
                  <c:v>Comp*</c:v>
                </c:pt>
              </c:strCache>
            </c:strRef>
          </c:cat>
          <c:val>
            <c:numRef>
              <c:f>Sheet1!$C$2:$C$9</c:f>
              <c:numCache>
                <c:formatCode>General</c:formatCode>
                <c:ptCount val="8"/>
                <c:pt idx="0">
                  <c:v>37</c:v>
                </c:pt>
                <c:pt idx="1">
                  <c:v>23</c:v>
                </c:pt>
                <c:pt idx="2">
                  <c:v>23</c:v>
                </c:pt>
                <c:pt idx="3">
                  <c:v>18</c:v>
                </c:pt>
                <c:pt idx="4">
                  <c:v>6</c:v>
                </c:pt>
                <c:pt idx="5">
                  <c:v>8</c:v>
                </c:pt>
                <c:pt idx="6">
                  <c:v>5</c:v>
                </c:pt>
                <c:pt idx="7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277-C34C-A2FC-B99A4FF78C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9914368"/>
        <c:axId val="89934080"/>
        <c:axId val="0"/>
      </c:bar3DChart>
      <c:catAx>
        <c:axId val="899143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-2700000"/>
          <a:lstStyle/>
          <a:p>
            <a:pPr>
              <a:defRPr sz="700"/>
            </a:pPr>
            <a:endParaRPr lang="en-US"/>
          </a:p>
        </c:txPr>
        <c:crossAx val="89934080"/>
        <c:crosses val="autoZero"/>
        <c:auto val="1"/>
        <c:lblAlgn val="ctr"/>
        <c:lblOffset val="100"/>
        <c:noMultiLvlLbl val="0"/>
      </c:catAx>
      <c:valAx>
        <c:axId val="89934080"/>
        <c:scaling>
          <c:orientation val="minMax"/>
          <c:max val="5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 sz="800" b="0"/>
                  <a:t>Percentile</a:t>
                </a:r>
              </a:p>
            </c:rich>
          </c:tx>
          <c:layout>
            <c:manualLayout>
              <c:xMode val="edge"/>
              <c:yMode val="edge"/>
              <c:x val="1.3717554849329719E-2"/>
              <c:y val="0.3341491397613992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en-US"/>
          </a:p>
        </c:txPr>
        <c:crossAx val="8991436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Avenir" pitchFamily="34" charset="0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65F74D-791E-994C-ABCC-BFD5D2B31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Lindamood-Bell Learning Processes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Primarystar</dc:creator>
  <cp:lastModifiedBy>Karen Murray</cp:lastModifiedBy>
  <cp:revision>2</cp:revision>
  <cp:lastPrinted>2016-10-14T16:09:00Z</cp:lastPrinted>
  <dcterms:created xsi:type="dcterms:W3CDTF">2020-02-27T20:27:00Z</dcterms:created>
  <dcterms:modified xsi:type="dcterms:W3CDTF">2020-02-27T20:27:00Z</dcterms:modified>
</cp:coreProperties>
</file>